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Rule="auto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Total expenditure reductions for FY18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Agricultural, Human, and Natural Resource Sciences:</w:t>
      </w:r>
      <w:r w:rsidDel="00000000" w:rsidR="00000000" w:rsidRPr="00000000">
        <w:rPr>
          <w:rtl w:val="0"/>
        </w:rPr>
        <w:t xml:space="preserve"> $918,000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Arts and Sciences:</w:t>
      </w:r>
      <w:r w:rsidDel="00000000" w:rsidR="00000000" w:rsidRPr="00000000">
        <w:rPr>
          <w:rtl w:val="0"/>
        </w:rPr>
        <w:t xml:space="preserve"> $1.2 million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Business: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Communication: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Education:</w:t>
      </w:r>
      <w:r w:rsidDel="00000000" w:rsidR="00000000" w:rsidRPr="00000000">
        <w:rPr>
          <w:rtl w:val="0"/>
        </w:rPr>
        <w:t xml:space="preserve"> $273,000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Engineering and Architecture:</w:t>
        <w:br w:type="textWrapping"/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Honors:</w:t>
        <w:br w:type="textWrapping"/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Medicine:</w:t>
        <w:br w:type="textWrapping"/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Nursing:</w:t>
        <w:br w:type="textWrapping"/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Pharmacy:</w:t>
        <w:br w:type="textWrapping"/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Veterinary Medicine: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Student Affairs: $132,625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